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9E68" w14:textId="19BDB315" w:rsidR="00351F99" w:rsidRPr="00E15272" w:rsidRDefault="00351F99" w:rsidP="00922B9F">
      <w:pPr>
        <w:rPr>
          <w:rFonts w:asciiTheme="minorHAnsi" w:hAnsiTheme="minorHAnsi" w:cstheme="minorHAnsi"/>
          <w:color w:val="000000"/>
        </w:rPr>
      </w:pPr>
    </w:p>
    <w:tbl>
      <w:tblPr>
        <w:tblW w:w="111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2476"/>
        <w:gridCol w:w="2545"/>
        <w:gridCol w:w="2514"/>
        <w:gridCol w:w="2474"/>
      </w:tblGrid>
      <w:tr w:rsidR="00351F99" w:rsidRPr="00E15272" w14:paraId="7846D0BD" w14:textId="77777777" w:rsidTr="00B972E3">
        <w:trPr>
          <w:tblHeader/>
        </w:trPr>
        <w:tc>
          <w:tcPr>
            <w:tcW w:w="112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30DACB" w14:textId="77777777" w:rsidR="00351F99" w:rsidRPr="00351F99" w:rsidRDefault="00351F99" w:rsidP="00351F99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Funding Source</w:t>
            </w:r>
          </w:p>
        </w:tc>
        <w:tc>
          <w:tcPr>
            <w:tcW w:w="247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46751C" w14:textId="68D77ED0" w:rsidR="00351F99" w:rsidRPr="00351F99" w:rsidRDefault="00351F99" w:rsidP="0016244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 $</w:t>
            </w:r>
            <w:r w:rsidR="0016244B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0</w:t>
            </w:r>
            <w:r w:rsidRPr="00351F9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 - $10,000.00 </w:t>
            </w:r>
          </w:p>
        </w:tc>
        <w:tc>
          <w:tcPr>
            <w:tcW w:w="254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07AB6E" w14:textId="77777777" w:rsidR="00351F99" w:rsidRPr="00351F99" w:rsidRDefault="00351F99" w:rsidP="00351F99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$10,000.01 - $99,999.99  </w:t>
            </w:r>
          </w:p>
        </w:tc>
        <w:tc>
          <w:tcPr>
            <w:tcW w:w="251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488954" w14:textId="2C2E01D4" w:rsidR="00351F99" w:rsidRPr="00351F99" w:rsidRDefault="00F0380F" w:rsidP="00351F99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More than</w:t>
            </w:r>
            <w:r w:rsidR="00351F99" w:rsidRPr="00351F9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 $100,000.00</w:t>
            </w:r>
          </w:p>
        </w:tc>
        <w:tc>
          <w:tcPr>
            <w:tcW w:w="247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C94AC9" w14:textId="1C97CD03" w:rsidR="00351F99" w:rsidRPr="00351F99" w:rsidRDefault="00E267BD" w:rsidP="00351F99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Less</w:t>
            </w:r>
            <w:r w:rsidR="00F0380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 than </w:t>
            </w:r>
            <w:r w:rsidR="00351F99" w:rsidRPr="00351F9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$250,000.00</w:t>
            </w:r>
          </w:p>
        </w:tc>
      </w:tr>
      <w:tr w:rsidR="00351F99" w:rsidRPr="00E15272" w14:paraId="1F8CB5C0" w14:textId="77777777" w:rsidTr="00B972E3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2ED0D" w14:textId="77777777" w:rsidR="00351F99" w:rsidRPr="00351F99" w:rsidRDefault="00351F99" w:rsidP="00351F9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Federal</w:t>
            </w:r>
          </w:p>
        </w:tc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CF873" w14:textId="77777777" w:rsidR="00351F99" w:rsidRPr="00351F99" w:rsidRDefault="00351F99" w:rsidP="00351F9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No competition required if the </w:t>
            </w:r>
            <w:r w:rsidRPr="00F0380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price is reasonable</w:t>
            </w: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(informal competition encouraged)</w:t>
            </w:r>
          </w:p>
        </w:tc>
        <w:tc>
          <w:tcPr>
            <w:tcW w:w="2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3F666" w14:textId="77777777" w:rsidR="00351F99" w:rsidRPr="00351F99" w:rsidRDefault="00351F99" w:rsidP="00351F9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Informal competitive proposals </w:t>
            </w:r>
            <w:r w:rsidRPr="00F0380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required</w:t>
            </w: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from three or more sources*</w:t>
            </w:r>
          </w:p>
        </w:tc>
        <w:tc>
          <w:tcPr>
            <w:tcW w:w="2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05763" w14:textId="223BEF04" w:rsidR="00351F99" w:rsidRPr="00351F99" w:rsidRDefault="00351F99" w:rsidP="00B972E3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Formal RFx solicitation conducted by </w:t>
            </w:r>
            <w:r w:rsidR="00B972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SCM </w:t>
            </w:r>
            <w:r w:rsidRPr="00F0380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required</w:t>
            </w: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**</w:t>
            </w:r>
          </w:p>
        </w:tc>
        <w:tc>
          <w:tcPr>
            <w:tcW w:w="2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D63A1" w14:textId="6975FC8A" w:rsidR="00F0380F" w:rsidRDefault="00351F99" w:rsidP="00F0380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Certified Diverse Business informal competitive proposals </w:t>
            </w:r>
            <w:r w:rsidR="00F038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option. Quotes</w:t>
            </w: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from 2 or more </w:t>
            </w:r>
            <w:proofErr w:type="gramStart"/>
            <w:r w:rsidR="00B972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matching </w:t>
            </w: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diverse</w:t>
            </w:r>
            <w:proofErr w:type="gramEnd"/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B972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business classifications</w:t>
            </w:r>
            <w:r w:rsidR="00F038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. </w:t>
            </w:r>
          </w:p>
          <w:p w14:paraId="32952A83" w14:textId="15C9786B" w:rsidR="00351F99" w:rsidRPr="00351F99" w:rsidRDefault="00351F99" w:rsidP="00F0380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FAR (15 U.S.C. 631)</w:t>
            </w:r>
          </w:p>
        </w:tc>
      </w:tr>
      <w:tr w:rsidR="00351F99" w:rsidRPr="00E15272" w14:paraId="29C47076" w14:textId="77777777" w:rsidTr="00B972E3"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553E3" w14:textId="77777777" w:rsidR="00351F99" w:rsidRPr="00351F99" w:rsidRDefault="00351F99" w:rsidP="00351F9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Non-Federal</w:t>
            </w:r>
          </w:p>
        </w:tc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01872" w14:textId="77777777" w:rsidR="00351F99" w:rsidRPr="00351F99" w:rsidRDefault="00351F99" w:rsidP="00351F9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No competition required if the </w:t>
            </w:r>
            <w:r w:rsidRPr="00F0380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price is reasonable</w:t>
            </w: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(informal competition encouraged)</w:t>
            </w:r>
          </w:p>
        </w:tc>
        <w:tc>
          <w:tcPr>
            <w:tcW w:w="2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6C214" w14:textId="77777777" w:rsidR="00351F99" w:rsidRPr="00351F99" w:rsidRDefault="00351F99" w:rsidP="00351F9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Informal competitive proposals </w:t>
            </w:r>
            <w:r w:rsidRPr="00F0380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encouraged</w:t>
            </w: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from three or more sources</w:t>
            </w:r>
          </w:p>
        </w:tc>
        <w:tc>
          <w:tcPr>
            <w:tcW w:w="2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04BFD" w14:textId="2A444893" w:rsidR="00351F99" w:rsidRPr="00351F99" w:rsidRDefault="00351F99" w:rsidP="00B972E3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Formal RFx solicitation conducted by</w:t>
            </w:r>
            <w:r w:rsidR="00B972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SCM</w:t>
            </w: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  <w:r w:rsidRPr="00F0380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required</w:t>
            </w: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**</w:t>
            </w:r>
          </w:p>
        </w:tc>
        <w:tc>
          <w:tcPr>
            <w:tcW w:w="2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F86D5" w14:textId="246717B5" w:rsidR="00F0380F" w:rsidRDefault="00F0380F" w:rsidP="00F0380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Certified SB/DVBE </w:t>
            </w:r>
            <w:r w:rsidR="00351F99"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Small/Disabled Veteran</w:t>
            </w:r>
            <w:r w:rsidR="00351F99"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) informal competitive proposals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option Quotes</w:t>
            </w:r>
            <w:r w:rsidR="00351F99"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from 2 or more </w:t>
            </w:r>
            <w:proofErr w:type="gramStart"/>
            <w:r w:rsidR="00B972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matching </w:t>
            </w:r>
            <w:r w:rsidR="00351F99"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diverse</w:t>
            </w:r>
            <w:proofErr w:type="gramEnd"/>
            <w:r w:rsidR="00351F99"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classifications. </w:t>
            </w:r>
          </w:p>
          <w:p w14:paraId="44FFF0C4" w14:textId="76DF5A13" w:rsidR="00351F99" w:rsidRPr="00351F99" w:rsidRDefault="00351F99" w:rsidP="00F0380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9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PCC (10508.5)</w:t>
            </w:r>
          </w:p>
        </w:tc>
      </w:tr>
    </w:tbl>
    <w:p w14:paraId="1D8BE20E" w14:textId="77A7E4E3" w:rsidR="00351F99" w:rsidRPr="00E15272" w:rsidRDefault="00351F99" w:rsidP="00922B9F">
      <w:pPr>
        <w:rPr>
          <w:rFonts w:asciiTheme="minorHAnsi" w:hAnsiTheme="minorHAnsi" w:cstheme="minorHAnsi"/>
          <w:color w:val="000000"/>
        </w:rPr>
      </w:pPr>
    </w:p>
    <w:p w14:paraId="66121299" w14:textId="77777777" w:rsidR="00351F99" w:rsidRPr="00FE3EA9" w:rsidRDefault="00351F99" w:rsidP="00351F99">
      <w:pPr>
        <w:rPr>
          <w:rFonts w:asciiTheme="minorHAnsi" w:hAnsiTheme="minorHAnsi" w:cstheme="minorHAnsi"/>
          <w:sz w:val="22"/>
          <w:szCs w:val="22"/>
        </w:rPr>
      </w:pPr>
      <w:r w:rsidRPr="00FE3EA9">
        <w:rPr>
          <w:rFonts w:asciiTheme="minorHAnsi" w:hAnsiTheme="minorHAnsi" w:cstheme="minorHAnsi"/>
          <w:b/>
          <w:sz w:val="22"/>
          <w:szCs w:val="22"/>
        </w:rPr>
        <w:t>Reasonable Price</w:t>
      </w:r>
    </w:p>
    <w:p w14:paraId="4A556FF0" w14:textId="4088FEA6" w:rsidR="00351F99" w:rsidRPr="00FE3EA9" w:rsidRDefault="00351F99" w:rsidP="00351F99">
      <w:pPr>
        <w:rPr>
          <w:rFonts w:asciiTheme="minorHAnsi" w:hAnsiTheme="minorHAnsi" w:cstheme="minorHAnsi"/>
          <w:sz w:val="22"/>
          <w:szCs w:val="22"/>
        </w:rPr>
      </w:pPr>
      <w:r w:rsidRPr="00FE3EA9">
        <w:rPr>
          <w:rFonts w:asciiTheme="minorHAnsi" w:hAnsiTheme="minorHAnsi" w:cstheme="minorHAnsi"/>
          <w:sz w:val="22"/>
          <w:szCs w:val="22"/>
        </w:rPr>
        <w:t>Reasonable price can be established by market test, price or cost analysis, or the experience and judgment of the</w:t>
      </w:r>
      <w:r w:rsidR="004C3D0C">
        <w:rPr>
          <w:rFonts w:asciiTheme="minorHAnsi" w:hAnsiTheme="minorHAnsi" w:cstheme="minorHAnsi"/>
          <w:sz w:val="22"/>
          <w:szCs w:val="22"/>
        </w:rPr>
        <w:t xml:space="preserve"> </w:t>
      </w:r>
      <w:r w:rsidRPr="00FE3EA9">
        <w:rPr>
          <w:rFonts w:asciiTheme="minorHAnsi" w:hAnsiTheme="minorHAnsi" w:cstheme="minorHAnsi"/>
          <w:sz w:val="22"/>
          <w:szCs w:val="22"/>
        </w:rPr>
        <w:t xml:space="preserve">Buyer. Such judgment considers total value to the University. There is value to the University in purchases which meet the University's needs, such as those involving quality, quantity, delivery and service. A reasonable price need not be the lowest price available, but offers the highest total value to the University.  </w:t>
      </w:r>
    </w:p>
    <w:p w14:paraId="2AA55000" w14:textId="77777777" w:rsidR="00351F99" w:rsidRPr="00FE3EA9" w:rsidRDefault="00351F99" w:rsidP="00351F9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F84418" w14:textId="724DB853" w:rsidR="00351F99" w:rsidRPr="00FE3EA9" w:rsidRDefault="00351F99" w:rsidP="00351F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3EA9">
        <w:rPr>
          <w:rFonts w:asciiTheme="minorHAnsi" w:hAnsiTheme="minorHAnsi" w:cstheme="minorHAnsi"/>
          <w:b/>
          <w:bCs/>
          <w:sz w:val="22"/>
          <w:szCs w:val="22"/>
        </w:rPr>
        <w:t>Exemptions to Competitive Bidding</w:t>
      </w:r>
    </w:p>
    <w:p w14:paraId="01593878" w14:textId="349A122E" w:rsidR="00351F99" w:rsidRPr="00FE3EA9" w:rsidRDefault="00351F99" w:rsidP="00351F99">
      <w:pPr>
        <w:rPr>
          <w:rFonts w:asciiTheme="minorHAnsi" w:hAnsiTheme="minorHAnsi" w:cstheme="minorHAnsi"/>
          <w:sz w:val="22"/>
          <w:szCs w:val="22"/>
        </w:rPr>
      </w:pPr>
      <w:r w:rsidRPr="00FE3EA9">
        <w:rPr>
          <w:rFonts w:asciiTheme="minorHAnsi" w:hAnsiTheme="minorHAnsi" w:cstheme="minorHAnsi"/>
          <w:sz w:val="22"/>
          <w:szCs w:val="22"/>
        </w:rPr>
        <w:t>UC Berkeley is committed to a policy of competitive procurement when competition is known to exist. However, there are certain cases where departments may be granted a bid exemption.</w:t>
      </w:r>
      <w:r w:rsidR="004C3D0C">
        <w:rPr>
          <w:rFonts w:asciiTheme="minorHAnsi" w:hAnsiTheme="minorHAnsi" w:cstheme="minorHAnsi"/>
          <w:sz w:val="22"/>
          <w:szCs w:val="22"/>
        </w:rPr>
        <w:t xml:space="preserve"> </w:t>
      </w:r>
      <w:r w:rsidR="004C3D0C" w:rsidRPr="004C3D0C">
        <w:rPr>
          <w:rFonts w:asciiTheme="minorHAnsi" w:hAnsiTheme="minorHAnsi" w:cstheme="minorHAnsi"/>
          <w:sz w:val="22"/>
          <w:szCs w:val="22"/>
        </w:rPr>
        <w:t>Work with your</w:t>
      </w:r>
      <w:r w:rsidR="004C3D0C">
        <w:rPr>
          <w:rFonts w:asciiTheme="minorHAnsi" w:hAnsiTheme="minorHAnsi" w:cstheme="minorHAnsi"/>
          <w:sz w:val="22"/>
          <w:szCs w:val="22"/>
        </w:rPr>
        <w:t xml:space="preserve"> SCM</w:t>
      </w:r>
      <w:r w:rsidR="004C3D0C" w:rsidRPr="004C3D0C">
        <w:rPr>
          <w:rFonts w:asciiTheme="minorHAnsi" w:hAnsiTheme="minorHAnsi" w:cstheme="minorHAnsi"/>
          <w:sz w:val="22"/>
          <w:szCs w:val="22"/>
        </w:rPr>
        <w:t xml:space="preserve"> Buyer to determine if the goods and/or services may be exempt from bidding requirements.  </w:t>
      </w:r>
    </w:p>
    <w:p w14:paraId="398ACDC1" w14:textId="5AF1AA3F" w:rsidR="00351F99" w:rsidRPr="00FE3EA9" w:rsidRDefault="00351F99" w:rsidP="00351F99">
      <w:pPr>
        <w:tabs>
          <w:tab w:val="left" w:pos="1160"/>
        </w:tabs>
        <w:rPr>
          <w:rFonts w:asciiTheme="minorHAnsi" w:hAnsiTheme="minorHAnsi" w:cstheme="minorHAnsi"/>
          <w:sz w:val="22"/>
          <w:szCs w:val="22"/>
        </w:rPr>
      </w:pPr>
      <w:r w:rsidRPr="00FE3EA9">
        <w:rPr>
          <w:rFonts w:asciiTheme="minorHAnsi" w:hAnsiTheme="minorHAnsi" w:cstheme="minorHAnsi"/>
          <w:sz w:val="22"/>
          <w:szCs w:val="22"/>
        </w:rPr>
        <w:t>A </w:t>
      </w:r>
      <w:hyperlink r:id="rId7" w:history="1">
        <w:r w:rsidRPr="00FE3EA9">
          <w:rPr>
            <w:rStyle w:val="Hyperlink"/>
            <w:rFonts w:asciiTheme="minorHAnsi" w:hAnsiTheme="minorHAnsi" w:cstheme="minorHAnsi"/>
            <w:sz w:val="22"/>
            <w:szCs w:val="22"/>
          </w:rPr>
          <w:t>UCOP Source Selection &amp; Price Reasonableness (SSPR) Justification Form</w:t>
        </w:r>
      </w:hyperlink>
      <w:r w:rsidRPr="00FE3EA9">
        <w:rPr>
          <w:rFonts w:asciiTheme="minorHAnsi" w:hAnsiTheme="minorHAnsi" w:cstheme="minorHAnsi"/>
          <w:sz w:val="22"/>
          <w:szCs w:val="22"/>
        </w:rPr>
        <w:t> must be completed by the requesting department to substantiate the appropriateness of a</w:t>
      </w:r>
      <w:r w:rsidR="00AA787A">
        <w:rPr>
          <w:rFonts w:asciiTheme="minorHAnsi" w:hAnsiTheme="minorHAnsi" w:cstheme="minorHAnsi"/>
          <w:sz w:val="22"/>
          <w:szCs w:val="22"/>
        </w:rPr>
        <w:t xml:space="preserve"> bid exemption request for all federally-f</w:t>
      </w:r>
      <w:r w:rsidRPr="00FE3EA9">
        <w:rPr>
          <w:rFonts w:asciiTheme="minorHAnsi" w:hAnsiTheme="minorHAnsi" w:cstheme="minorHAnsi"/>
          <w:sz w:val="22"/>
          <w:szCs w:val="22"/>
        </w:rPr>
        <w:t>unded purchases</w:t>
      </w:r>
      <w:r w:rsidRPr="00AA787A">
        <w:rPr>
          <w:rFonts w:asciiTheme="minorHAnsi" w:hAnsiTheme="minorHAnsi" w:cstheme="minorHAnsi"/>
          <w:sz w:val="22"/>
          <w:szCs w:val="22"/>
        </w:rPr>
        <w:t xml:space="preserve"> </w:t>
      </w:r>
      <w:r w:rsidR="00AA787A" w:rsidRPr="00AA787A">
        <w:rPr>
          <w:rFonts w:asciiTheme="minorHAnsi" w:hAnsiTheme="minorHAnsi" w:cstheme="minorHAnsi"/>
          <w:sz w:val="22"/>
          <w:szCs w:val="22"/>
        </w:rPr>
        <w:t>more than</w:t>
      </w:r>
      <w:r w:rsidR="00AA78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3EA9">
        <w:rPr>
          <w:rFonts w:asciiTheme="minorHAnsi" w:hAnsiTheme="minorHAnsi" w:cstheme="minorHAnsi"/>
          <w:b/>
          <w:sz w:val="22"/>
          <w:szCs w:val="22"/>
        </w:rPr>
        <w:t xml:space="preserve">$10,000 </w:t>
      </w:r>
      <w:r w:rsidRPr="00FE3EA9">
        <w:rPr>
          <w:rFonts w:asciiTheme="minorHAnsi" w:hAnsiTheme="minorHAnsi" w:cstheme="minorHAnsi"/>
          <w:sz w:val="22"/>
          <w:szCs w:val="22"/>
        </w:rPr>
        <w:t xml:space="preserve">and </w:t>
      </w:r>
      <w:r w:rsidR="00AA787A" w:rsidRPr="00AA787A">
        <w:rPr>
          <w:rFonts w:asciiTheme="minorHAnsi" w:hAnsiTheme="minorHAnsi" w:cstheme="minorHAnsi"/>
          <w:sz w:val="22"/>
          <w:szCs w:val="22"/>
        </w:rPr>
        <w:t>non-f</w:t>
      </w:r>
      <w:r w:rsidRPr="00AA787A">
        <w:rPr>
          <w:rFonts w:asciiTheme="minorHAnsi" w:hAnsiTheme="minorHAnsi" w:cstheme="minorHAnsi"/>
          <w:sz w:val="22"/>
          <w:szCs w:val="22"/>
        </w:rPr>
        <w:t xml:space="preserve">ederally </w:t>
      </w:r>
      <w:r w:rsidR="00AA787A" w:rsidRPr="00AA787A">
        <w:rPr>
          <w:rFonts w:asciiTheme="minorHAnsi" w:hAnsiTheme="minorHAnsi" w:cstheme="minorHAnsi"/>
          <w:sz w:val="22"/>
          <w:szCs w:val="22"/>
        </w:rPr>
        <w:t>f</w:t>
      </w:r>
      <w:r w:rsidRPr="00AA787A">
        <w:rPr>
          <w:rFonts w:asciiTheme="minorHAnsi" w:hAnsiTheme="minorHAnsi" w:cstheme="minorHAnsi"/>
          <w:sz w:val="22"/>
          <w:szCs w:val="22"/>
        </w:rPr>
        <w:t xml:space="preserve">unded </w:t>
      </w:r>
      <w:r w:rsidRPr="00FE3EA9">
        <w:rPr>
          <w:rFonts w:asciiTheme="minorHAnsi" w:hAnsiTheme="minorHAnsi" w:cstheme="minorHAnsi"/>
          <w:sz w:val="22"/>
          <w:szCs w:val="22"/>
        </w:rPr>
        <w:t xml:space="preserve">purchases </w:t>
      </w:r>
      <w:r w:rsidR="00AA787A" w:rsidRPr="00AA787A">
        <w:rPr>
          <w:rFonts w:asciiTheme="minorHAnsi" w:hAnsiTheme="minorHAnsi" w:cstheme="minorHAnsi"/>
          <w:sz w:val="22"/>
          <w:szCs w:val="22"/>
        </w:rPr>
        <w:t>more than</w:t>
      </w:r>
      <w:r w:rsidR="00AA78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3EA9">
        <w:rPr>
          <w:rFonts w:asciiTheme="minorHAnsi" w:hAnsiTheme="minorHAnsi" w:cstheme="minorHAnsi"/>
          <w:b/>
          <w:sz w:val="22"/>
          <w:szCs w:val="22"/>
        </w:rPr>
        <w:t xml:space="preserve">$100,000 </w:t>
      </w:r>
      <w:r w:rsidRPr="00FE3EA9">
        <w:rPr>
          <w:rFonts w:asciiTheme="minorHAnsi" w:hAnsiTheme="minorHAnsi" w:cstheme="minorHAnsi"/>
          <w:sz w:val="22"/>
          <w:szCs w:val="22"/>
        </w:rPr>
        <w:t xml:space="preserve">for federal and state audits. For more information on bid exemptions visit </w:t>
      </w:r>
      <w:hyperlink r:id="rId8" w:history="1">
        <w:r w:rsidRPr="00FE3EA9">
          <w:rPr>
            <w:rStyle w:val="Hyperlink"/>
            <w:rFonts w:asciiTheme="minorHAnsi" w:hAnsiTheme="minorHAnsi" w:cstheme="minorHAnsi"/>
            <w:sz w:val="22"/>
            <w:szCs w:val="22"/>
          </w:rPr>
          <w:t>UC Berkeley’s Supply Chain Management Website</w:t>
        </w:r>
      </w:hyperlink>
      <w:r w:rsidRPr="00FE3EA9">
        <w:rPr>
          <w:rFonts w:asciiTheme="minorHAnsi" w:hAnsiTheme="minorHAnsi" w:cstheme="minorHAnsi"/>
          <w:sz w:val="22"/>
          <w:szCs w:val="22"/>
        </w:rPr>
        <w:t>.</w:t>
      </w:r>
    </w:p>
    <w:p w14:paraId="185E34C8" w14:textId="77777777" w:rsidR="00351F99" w:rsidRPr="00FE3EA9" w:rsidRDefault="00351F99" w:rsidP="00351F99">
      <w:pPr>
        <w:rPr>
          <w:rFonts w:asciiTheme="minorHAnsi" w:hAnsiTheme="minorHAnsi" w:cstheme="minorHAnsi"/>
          <w:b/>
          <w:sz w:val="22"/>
          <w:szCs w:val="22"/>
        </w:rPr>
      </w:pPr>
    </w:p>
    <w:p w14:paraId="1D044A32" w14:textId="16F03642" w:rsidR="00351F99" w:rsidRPr="00FE3EA9" w:rsidRDefault="00351F99" w:rsidP="00351F99">
      <w:pPr>
        <w:rPr>
          <w:rFonts w:asciiTheme="minorHAnsi" w:hAnsiTheme="minorHAnsi" w:cstheme="minorHAnsi"/>
          <w:b/>
          <w:sz w:val="22"/>
          <w:szCs w:val="22"/>
        </w:rPr>
      </w:pPr>
      <w:r w:rsidRPr="00FE3EA9">
        <w:rPr>
          <w:rFonts w:asciiTheme="minorHAnsi" w:hAnsiTheme="minorHAnsi" w:cstheme="minorHAnsi"/>
          <w:b/>
          <w:sz w:val="22"/>
          <w:szCs w:val="22"/>
        </w:rPr>
        <w:t xml:space="preserve">Split Orders </w:t>
      </w:r>
    </w:p>
    <w:p w14:paraId="489F14EA" w14:textId="21C5B7FE" w:rsidR="00351F99" w:rsidRPr="00FE3EA9" w:rsidRDefault="00F0380F" w:rsidP="00351F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Requirements for purchases</w:t>
      </w:r>
      <w:r w:rsidR="00351F99" w:rsidRPr="00FE3EA9">
        <w:rPr>
          <w:rFonts w:asciiTheme="minorHAnsi" w:hAnsiTheme="minorHAnsi" w:cstheme="minorHAnsi"/>
          <w:sz w:val="22"/>
          <w:szCs w:val="22"/>
        </w:rPr>
        <w:t xml:space="preserve"> shall not be artificially divided into separate transactions to avoid competition as defined in</w:t>
      </w:r>
      <w:hyperlink r:id="rId9" w:history="1">
        <w:r w:rsidR="00351F99" w:rsidRPr="00FE3EA9">
          <w:rPr>
            <w:rStyle w:val="Hyperlink"/>
            <w:rFonts w:asciiTheme="minorHAnsi" w:hAnsiTheme="minorHAnsi" w:cstheme="minorHAnsi"/>
            <w:sz w:val="22"/>
            <w:szCs w:val="22"/>
          </w:rPr>
          <w:t> 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University of California </w:t>
        </w:r>
        <w:r w:rsidR="00351F99" w:rsidRPr="00FE3EA9">
          <w:rPr>
            <w:rStyle w:val="Hyperlink"/>
            <w:rFonts w:asciiTheme="minorHAnsi" w:hAnsiTheme="minorHAnsi" w:cstheme="minorHAnsi"/>
            <w:sz w:val="22"/>
            <w:szCs w:val="22"/>
          </w:rPr>
          <w:t>BFB-BUS-43 Purchases of Goods and Services</w:t>
        </w:r>
      </w:hyperlink>
      <w:r w:rsidR="00351F99" w:rsidRPr="00FE3EA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9F22A0E" w14:textId="04C60E7E" w:rsidR="00351F99" w:rsidRDefault="00351F99" w:rsidP="00351F99">
      <w:pPr>
        <w:rPr>
          <w:rFonts w:asciiTheme="minorHAnsi" w:hAnsiTheme="minorHAnsi" w:cstheme="minorHAnsi"/>
          <w:sz w:val="22"/>
          <w:szCs w:val="22"/>
        </w:rPr>
      </w:pPr>
      <w:r w:rsidRPr="00FE3EA9">
        <w:rPr>
          <w:rFonts w:asciiTheme="minorHAnsi" w:hAnsiTheme="minorHAnsi" w:cstheme="minorHAnsi"/>
          <w:sz w:val="22"/>
          <w:szCs w:val="22"/>
        </w:rPr>
        <w:t>Contact your Supply Chain Management </w:t>
      </w:r>
      <w:hyperlink r:id="rId10" w:history="1">
        <w:r w:rsidRPr="00FE3EA9">
          <w:rPr>
            <w:rStyle w:val="Hyperlink"/>
            <w:rFonts w:asciiTheme="minorHAnsi" w:hAnsiTheme="minorHAnsi" w:cstheme="minorHAnsi"/>
            <w:sz w:val="22"/>
            <w:szCs w:val="22"/>
          </w:rPr>
          <w:t>Buyer</w:t>
        </w:r>
      </w:hyperlink>
      <w:r w:rsidRPr="00FE3EA9">
        <w:rPr>
          <w:rFonts w:asciiTheme="minorHAnsi" w:hAnsiTheme="minorHAnsi" w:cstheme="minorHAnsi"/>
          <w:sz w:val="22"/>
          <w:szCs w:val="22"/>
        </w:rPr>
        <w:t> for assistance with any competitive bidding questions.</w:t>
      </w:r>
    </w:p>
    <w:p w14:paraId="7F04C735" w14:textId="3C3432BA" w:rsidR="00351F99" w:rsidRPr="00E15272" w:rsidRDefault="00351F99" w:rsidP="00351F99">
      <w:pPr>
        <w:tabs>
          <w:tab w:val="left" w:pos="1160"/>
        </w:tabs>
        <w:rPr>
          <w:rFonts w:asciiTheme="minorHAnsi" w:hAnsiTheme="minorHAnsi" w:cstheme="minorHAnsi"/>
        </w:rPr>
      </w:pPr>
      <w:r w:rsidRPr="00E15272">
        <w:rPr>
          <w:rFonts w:asciiTheme="minorHAnsi" w:hAnsiTheme="minorHAnsi" w:cstheme="minorHAnsi"/>
        </w:rPr>
        <w:tab/>
      </w:r>
    </w:p>
    <w:p w14:paraId="73E0CBF1" w14:textId="77777777" w:rsidR="00351F99" w:rsidRPr="00E15272" w:rsidRDefault="00351F99" w:rsidP="00351F99">
      <w:pPr>
        <w:ind w:left="49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E15272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*</w:t>
      </w:r>
      <w:r w:rsidRPr="00E1527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As required by </w:t>
      </w:r>
      <w:hyperlink r:id="rId11" w:history="1">
        <w:r w:rsidRPr="00E15272">
          <w:rPr>
            <w:rStyle w:val="Hyperlink"/>
            <w:rFonts w:asciiTheme="minorHAnsi" w:hAnsiTheme="minorHAnsi" w:cstheme="minorHAnsi"/>
            <w:b/>
            <w:bCs/>
            <w:color w:val="595959" w:themeColor="text1" w:themeTint="A6"/>
            <w:sz w:val="20"/>
            <w:szCs w:val="20"/>
          </w:rPr>
          <w:t>2 CFR § 200.320</w:t>
        </w:r>
      </w:hyperlink>
      <w:r w:rsidRPr="00E1527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, departments must obtain three (3) competitive quotes, bids or proposals for a purchase transaction more than $10,000.00.</w:t>
      </w:r>
    </w:p>
    <w:p w14:paraId="74D26ECB" w14:textId="393048B7" w:rsidR="00D05F2E" w:rsidRPr="00E15272" w:rsidRDefault="00351F99" w:rsidP="00351F99">
      <w:pPr>
        <w:ind w:left="490"/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</w:rPr>
      </w:pPr>
      <w:r w:rsidRPr="00E15272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**</w:t>
      </w:r>
      <w:hyperlink r:id="rId12" w:history="1">
        <w:r w:rsidRPr="00E15272">
          <w:rPr>
            <w:rStyle w:val="Hyperlink"/>
            <w:rFonts w:asciiTheme="minorHAnsi" w:hAnsiTheme="minorHAnsi" w:cstheme="minorHAnsi"/>
            <w:b/>
            <w:bCs/>
            <w:color w:val="595959" w:themeColor="text1" w:themeTint="A6"/>
            <w:sz w:val="20"/>
            <w:szCs w:val="20"/>
          </w:rPr>
          <w:t>California Public Contract Code (PCC), sections 10507.7 et seq</w:t>
        </w:r>
      </w:hyperlink>
      <w:r w:rsidRPr="00E1527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., requires the University of California to formally competitively bid the purchase of goods and/or services that exceed $100,000 per annual year unless an exception applies and the basis for the award is documented in writing. Requirements for goods and services should be publicly advertised.</w:t>
      </w:r>
    </w:p>
    <w:p w14:paraId="65FF18F4" w14:textId="77777777" w:rsidR="00E15272" w:rsidRPr="00E15272" w:rsidRDefault="00E15272">
      <w:pPr>
        <w:ind w:left="490"/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</w:rPr>
      </w:pPr>
    </w:p>
    <w:sectPr w:rsidR="00E15272" w:rsidRPr="00E15272" w:rsidSect="00351F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9" w:right="720" w:bottom="720" w:left="720" w:header="306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4B72" w14:textId="77777777" w:rsidR="005407D4" w:rsidRDefault="005407D4" w:rsidP="00641FF8">
      <w:r>
        <w:separator/>
      </w:r>
    </w:p>
  </w:endnote>
  <w:endnote w:type="continuationSeparator" w:id="0">
    <w:p w14:paraId="4F02D34F" w14:textId="77777777" w:rsidR="005407D4" w:rsidRDefault="005407D4" w:rsidP="0064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C5E1" w14:textId="77777777" w:rsidR="00E267BD" w:rsidRDefault="00E26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6F57" w14:textId="263D7D5D" w:rsidR="00326675" w:rsidRPr="00D73A04" w:rsidRDefault="00D73A04">
    <w:pPr>
      <w:pStyle w:val="Footer"/>
      <w:rPr>
        <w:sz w:val="18"/>
        <w:szCs w:val="18"/>
      </w:rPr>
    </w:pPr>
    <w:r>
      <w:rPr>
        <w:sz w:val="18"/>
        <w:szCs w:val="18"/>
      </w:rPr>
      <w:t xml:space="preserve">Rev </w:t>
    </w:r>
    <w:r w:rsidR="00835696">
      <w:rPr>
        <w:sz w:val="18"/>
        <w:szCs w:val="18"/>
      </w:rPr>
      <w:t>1</w:t>
    </w:r>
    <w:r w:rsidR="00E267BD">
      <w:rPr>
        <w:sz w:val="18"/>
        <w:szCs w:val="18"/>
      </w:rPr>
      <w:t>0</w:t>
    </w:r>
    <w:r w:rsidR="00351F99">
      <w:rPr>
        <w:sz w:val="18"/>
        <w:szCs w:val="18"/>
      </w:rPr>
      <w:t>-</w:t>
    </w:r>
    <w:r w:rsidR="00835696">
      <w:rPr>
        <w:sz w:val="18"/>
        <w:szCs w:val="18"/>
      </w:rPr>
      <w:t>30</w:t>
    </w:r>
    <w:r w:rsidR="00351F99">
      <w:rPr>
        <w:sz w:val="18"/>
        <w:szCs w:val="18"/>
      </w:rPr>
      <w:t>-</w:t>
    </w:r>
    <w:r w:rsidR="00835696">
      <w:rPr>
        <w:sz w:val="18"/>
        <w:szCs w:val="18"/>
      </w:rPr>
      <w:t>202</w:t>
    </w:r>
    <w:r w:rsidR="00E267BD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E9E4" w14:textId="77777777" w:rsidR="00E267BD" w:rsidRDefault="00E26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E8F1" w14:textId="77777777" w:rsidR="005407D4" w:rsidRDefault="005407D4" w:rsidP="00641FF8">
      <w:r>
        <w:separator/>
      </w:r>
    </w:p>
  </w:footnote>
  <w:footnote w:type="continuationSeparator" w:id="0">
    <w:p w14:paraId="049D20CC" w14:textId="77777777" w:rsidR="005407D4" w:rsidRDefault="005407D4" w:rsidP="0064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76B8" w14:textId="77777777" w:rsidR="00E267BD" w:rsidRDefault="00E26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1BB" w14:textId="413DD05E" w:rsidR="00326675" w:rsidRDefault="00326675" w:rsidP="00641FF8">
    <w:pPr>
      <w:pStyle w:val="Header"/>
      <w:jc w:val="center"/>
      <w:rPr>
        <w:b/>
      </w:rPr>
    </w:pPr>
    <w:r w:rsidRPr="00641FF8">
      <w:rPr>
        <w:b/>
      </w:rPr>
      <w:t>UC Berkeley - Supply Chain Management</w:t>
    </w:r>
    <w:r w:rsidR="004C3D0C">
      <w:rPr>
        <w:b/>
      </w:rPr>
      <w:t xml:space="preserve"> (SCM)</w:t>
    </w:r>
  </w:p>
  <w:p w14:paraId="33D2641E" w14:textId="1746286E" w:rsidR="00326675" w:rsidRDefault="00F0380F" w:rsidP="00641FF8">
    <w:pPr>
      <w:pStyle w:val="Header"/>
      <w:jc w:val="center"/>
      <w:rPr>
        <w:b/>
      </w:rPr>
    </w:pPr>
    <w:r>
      <w:rPr>
        <w:b/>
      </w:rPr>
      <w:t xml:space="preserve">Competitive </w:t>
    </w:r>
    <w:r w:rsidR="00F3305F">
      <w:rPr>
        <w:b/>
      </w:rPr>
      <w:t>B</w:t>
    </w:r>
    <w:r w:rsidR="00351F99">
      <w:rPr>
        <w:b/>
      </w:rPr>
      <w:t>idding guidelines</w:t>
    </w:r>
  </w:p>
  <w:p w14:paraId="29579CEE" w14:textId="77777777" w:rsidR="00326675" w:rsidRPr="00641FF8" w:rsidRDefault="00326675" w:rsidP="00641FF8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2473" w14:textId="77777777" w:rsidR="00E267BD" w:rsidRDefault="00E26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D86"/>
    <w:multiLevelType w:val="multilevel"/>
    <w:tmpl w:val="966297B2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419"/>
    <w:multiLevelType w:val="hybridMultilevel"/>
    <w:tmpl w:val="BA5C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7F2"/>
    <w:multiLevelType w:val="hybridMultilevel"/>
    <w:tmpl w:val="8E3A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2455"/>
    <w:multiLevelType w:val="hybridMultilevel"/>
    <w:tmpl w:val="08D06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56F10"/>
    <w:multiLevelType w:val="hybridMultilevel"/>
    <w:tmpl w:val="0954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1A33"/>
    <w:multiLevelType w:val="hybridMultilevel"/>
    <w:tmpl w:val="AA0C38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25FC5"/>
    <w:multiLevelType w:val="hybridMultilevel"/>
    <w:tmpl w:val="B1F8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1324B"/>
    <w:multiLevelType w:val="hybridMultilevel"/>
    <w:tmpl w:val="59661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568EC"/>
    <w:multiLevelType w:val="hybridMultilevel"/>
    <w:tmpl w:val="08CCD110"/>
    <w:lvl w:ilvl="0" w:tplc="DEE69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38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0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43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47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E1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2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CB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44334378">
    <w:abstractNumId w:val="0"/>
  </w:num>
  <w:num w:numId="2" w16cid:durableId="2064404094">
    <w:abstractNumId w:val="6"/>
  </w:num>
  <w:num w:numId="3" w16cid:durableId="1413772811">
    <w:abstractNumId w:val="1"/>
  </w:num>
  <w:num w:numId="4" w16cid:durableId="1285692851">
    <w:abstractNumId w:val="4"/>
  </w:num>
  <w:num w:numId="5" w16cid:durableId="650058165">
    <w:abstractNumId w:val="3"/>
  </w:num>
  <w:num w:numId="6" w16cid:durableId="440225949">
    <w:abstractNumId w:val="8"/>
  </w:num>
  <w:num w:numId="7" w16cid:durableId="1736470477">
    <w:abstractNumId w:val="2"/>
  </w:num>
  <w:num w:numId="8" w16cid:durableId="1500585137">
    <w:abstractNumId w:val="7"/>
  </w:num>
  <w:num w:numId="9" w16cid:durableId="1219441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F8"/>
    <w:rsid w:val="00052842"/>
    <w:rsid w:val="000B099F"/>
    <w:rsid w:val="000C322C"/>
    <w:rsid w:val="0016244B"/>
    <w:rsid w:val="00190A69"/>
    <w:rsid w:val="002032DB"/>
    <w:rsid w:val="002C12DC"/>
    <w:rsid w:val="00326675"/>
    <w:rsid w:val="00351F99"/>
    <w:rsid w:val="004C3D0C"/>
    <w:rsid w:val="005251B1"/>
    <w:rsid w:val="005407D4"/>
    <w:rsid w:val="00634310"/>
    <w:rsid w:val="00641FF8"/>
    <w:rsid w:val="00662D6E"/>
    <w:rsid w:val="006F3A28"/>
    <w:rsid w:val="0073706D"/>
    <w:rsid w:val="00801661"/>
    <w:rsid w:val="00835696"/>
    <w:rsid w:val="008763F1"/>
    <w:rsid w:val="008C06A0"/>
    <w:rsid w:val="008D078B"/>
    <w:rsid w:val="008D7D4F"/>
    <w:rsid w:val="00922B9F"/>
    <w:rsid w:val="0096129E"/>
    <w:rsid w:val="009B1278"/>
    <w:rsid w:val="00A10AC7"/>
    <w:rsid w:val="00AA787A"/>
    <w:rsid w:val="00B177B4"/>
    <w:rsid w:val="00B972E3"/>
    <w:rsid w:val="00BE57C4"/>
    <w:rsid w:val="00CA3F7D"/>
    <w:rsid w:val="00CE7115"/>
    <w:rsid w:val="00D05F2E"/>
    <w:rsid w:val="00D73A04"/>
    <w:rsid w:val="00E14A4C"/>
    <w:rsid w:val="00E15272"/>
    <w:rsid w:val="00E267BD"/>
    <w:rsid w:val="00E5221B"/>
    <w:rsid w:val="00EA45AE"/>
    <w:rsid w:val="00F0380F"/>
    <w:rsid w:val="00F3305F"/>
    <w:rsid w:val="00F52BA9"/>
    <w:rsid w:val="00F7519D"/>
    <w:rsid w:val="00FD6299"/>
    <w:rsid w:val="00FE3EA9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3161C"/>
  <w15:docId w15:val="{3C23D0BD-7D4A-437F-9DC4-9450C8A6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F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1FF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41F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1FF8"/>
  </w:style>
  <w:style w:type="paragraph" w:styleId="Footer">
    <w:name w:val="footer"/>
    <w:basedOn w:val="Normal"/>
    <w:link w:val="FooterChar"/>
    <w:uiPriority w:val="99"/>
    <w:unhideWhenUsed/>
    <w:rsid w:val="00641F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1FF8"/>
  </w:style>
  <w:style w:type="paragraph" w:styleId="ListParagraph">
    <w:name w:val="List Paragraph"/>
    <w:basedOn w:val="Normal"/>
    <w:uiPriority w:val="34"/>
    <w:qFormat/>
    <w:rsid w:val="00EA45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8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1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lychain.berkeley.edu/procurement/rfx-competitive-bidd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pplychain.berkeley.edu/procurement/procurement-forms" TargetMode="External"/><Relationship Id="rId12" Type="http://schemas.openxmlformats.org/officeDocument/2006/relationships/hyperlink" Target="https://leginfo.legislature.ca.gov/faces/codes_displayText.xhtml?lawCode=PCC&amp;division=2.&amp;title=&amp;part=2.&amp;chapter=2.1.&amp;article=2.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w.cornell.edu/cfr/text/2/200.3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upplychain.berkeley.edu/campus/how-purchase/contact-your-buy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icy.ucop.edu/doc/3220485/BFB-BUS-4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Laurina Ashby</dc:creator>
  <cp:keywords/>
  <dc:description/>
  <cp:lastModifiedBy>Mike Murphy</cp:lastModifiedBy>
  <cp:revision>2</cp:revision>
  <cp:lastPrinted>2017-12-06T17:41:00Z</cp:lastPrinted>
  <dcterms:created xsi:type="dcterms:W3CDTF">2023-11-13T22:55:00Z</dcterms:created>
  <dcterms:modified xsi:type="dcterms:W3CDTF">2023-11-13T22:55:00Z</dcterms:modified>
</cp:coreProperties>
</file>